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8D07" w14:textId="09D82327" w:rsidR="00D95C3F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Na podlagi 21. in 29. člena Zakona o lokalni samoupravi (Uradni list RS, št. 94/07 – UPB2, 76/08, 79/09, 51/10, 40/12 – ZUJF) in Statuta Občine Solčava (</w:t>
      </w:r>
      <w:r w:rsidRPr="00A0451E">
        <w:rPr>
          <w:sz w:val="20"/>
          <w:szCs w:val="20"/>
        </w:rPr>
        <w:t>Uradno glasilo Zgornjesavinjskih občin št. 1/14, UPB-1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) je Občinski svet Občine Solčava </w:t>
      </w:r>
      <w:r w:rsidR="0040584D">
        <w:rPr>
          <w:rFonts w:ascii="Arial" w:eastAsia="Times New Roman" w:hAnsi="Arial" w:cs="Arial"/>
          <w:sz w:val="18"/>
          <w:szCs w:val="18"/>
          <w:lang w:eastAsia="sl-SI"/>
        </w:rPr>
        <w:t>na</w:t>
      </w:r>
      <w:r w:rsidR="00352CB7">
        <w:rPr>
          <w:rFonts w:ascii="Arial" w:eastAsia="Times New Roman" w:hAnsi="Arial" w:cs="Arial"/>
          <w:sz w:val="18"/>
          <w:szCs w:val="18"/>
          <w:lang w:eastAsia="sl-SI"/>
        </w:rPr>
        <w:t xml:space="preserve"> 17.</w:t>
      </w:r>
      <w:r w:rsidR="0040584D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se</w:t>
      </w:r>
      <w:r w:rsidR="0040584D">
        <w:rPr>
          <w:rFonts w:ascii="Arial" w:eastAsia="Times New Roman" w:hAnsi="Arial" w:cs="Arial"/>
          <w:sz w:val="18"/>
          <w:szCs w:val="18"/>
          <w:lang w:eastAsia="sl-SI"/>
        </w:rPr>
        <w:t>ji</w:t>
      </w:r>
      <w:r w:rsidR="00352CB7">
        <w:rPr>
          <w:rFonts w:ascii="Arial" w:eastAsia="Times New Roman" w:hAnsi="Arial" w:cs="Arial"/>
          <w:sz w:val="18"/>
          <w:szCs w:val="18"/>
          <w:lang w:eastAsia="sl-SI"/>
        </w:rPr>
        <w:t xml:space="preserve"> 31.05.2017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sprejel</w:t>
      </w:r>
      <w:r w:rsidR="0040584D">
        <w:rPr>
          <w:rFonts w:ascii="Arial" w:eastAsia="Times New Roman" w:hAnsi="Arial" w:cs="Arial"/>
          <w:sz w:val="18"/>
          <w:szCs w:val="18"/>
          <w:lang w:eastAsia="sl-SI"/>
        </w:rPr>
        <w:t>:</w:t>
      </w:r>
    </w:p>
    <w:p w14:paraId="78E674A9" w14:textId="77777777" w:rsidR="006C717C" w:rsidRPr="00A0451E" w:rsidRDefault="006C717C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</w:p>
    <w:p w14:paraId="38971677" w14:textId="1D635BFA" w:rsidR="00D95C3F" w:rsidRDefault="00352CB7" w:rsidP="00D95C3F">
      <w:pPr>
        <w:spacing w:after="210" w:line="36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eastAsia="sl-SI"/>
        </w:rPr>
      </w:pPr>
      <w:r>
        <w:rPr>
          <w:rFonts w:ascii="Arial" w:eastAsia="Times New Roman" w:hAnsi="Arial" w:cs="Arial"/>
          <w:b/>
          <w:bCs/>
          <w:sz w:val="23"/>
          <w:szCs w:val="23"/>
          <w:lang w:eastAsia="sl-SI"/>
        </w:rPr>
        <w:t xml:space="preserve"> </w:t>
      </w:r>
      <w:r w:rsidR="00D95C3F" w:rsidRPr="00A0451E">
        <w:rPr>
          <w:rFonts w:ascii="Arial" w:eastAsia="Times New Roman" w:hAnsi="Arial" w:cs="Arial"/>
          <w:b/>
          <w:bCs/>
          <w:sz w:val="23"/>
          <w:szCs w:val="23"/>
          <w:lang w:eastAsia="sl-SI"/>
        </w:rPr>
        <w:t xml:space="preserve">P R A V I L N I K </w:t>
      </w:r>
      <w:r w:rsidR="00D95C3F" w:rsidRPr="00A0451E">
        <w:rPr>
          <w:rFonts w:ascii="Arial" w:eastAsia="Times New Roman" w:hAnsi="Arial" w:cs="Arial"/>
          <w:b/>
          <w:bCs/>
          <w:sz w:val="23"/>
          <w:szCs w:val="23"/>
          <w:lang w:eastAsia="sl-SI"/>
        </w:rPr>
        <w:br/>
        <w:t>o sofinanciranju malih komunalnih čistilnih naprav na območju Občine Solčava</w:t>
      </w:r>
    </w:p>
    <w:p w14:paraId="3C166CF5" w14:textId="77777777" w:rsidR="006C717C" w:rsidRPr="00A0451E" w:rsidRDefault="006C717C" w:rsidP="00D95C3F">
      <w:pPr>
        <w:spacing w:after="210" w:line="36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eastAsia="sl-SI"/>
        </w:rPr>
      </w:pPr>
    </w:p>
    <w:p w14:paraId="1745B3AA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Namen</w:t>
      </w:r>
    </w:p>
    <w:p w14:paraId="680A51D4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1. člen</w:t>
      </w:r>
    </w:p>
    <w:p w14:paraId="6EF22062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S tem pravilnikom se določajo namen, upravičenci, pogoji in merila za dodelitev proračunskih sredstev, namenjenih za sofinanciranje postavitve malih komunalnih čistilnih naprav (v nadaljevanju: MČN) za stanovanjske objekte na območju Občine Solčava.</w:t>
      </w:r>
    </w:p>
    <w:p w14:paraId="59D13ECB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Upravičenci</w:t>
      </w:r>
    </w:p>
    <w:p w14:paraId="4B62E0DD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2. člen</w:t>
      </w:r>
    </w:p>
    <w:p w14:paraId="2B596670" w14:textId="322A8B15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Sredstva </w:t>
      </w:r>
      <w:r w:rsidR="006476A7" w:rsidRPr="00A0451E">
        <w:rPr>
          <w:rFonts w:ascii="Arial" w:eastAsia="Times New Roman" w:hAnsi="Arial" w:cs="Arial"/>
          <w:sz w:val="18"/>
          <w:szCs w:val="18"/>
          <w:lang w:eastAsia="sl-SI"/>
        </w:rPr>
        <w:t>za namen sofinanciranja nakupa in vgradnje malih komunalnih čistilnih naprav (individualnih in skupinskih), velikosti do 50 PE, se dodeljujejo upravičencem v obliki subvencij.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</w:p>
    <w:p w14:paraId="1FBB9C99" w14:textId="77777777" w:rsidR="006476A7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Upravičenci dodelitve proračunskih sredstev po tem pravilniku so fizične osebe s stalnim prebivališčem v občini</w:t>
      </w:r>
      <w:r w:rsidR="006476A7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Solčava. Stanovanjske oziroma večstanovanjske stavbe se morajo nahajati na območju občine Solčava in izven območij poselitve, znotraj katerih se odvaja ali je predvideno odvajanje in čiščenje komunalnih odpadnih vod v javno kanalizacijo in javno čistilno napravo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. </w:t>
      </w:r>
    </w:p>
    <w:p w14:paraId="7B735F1D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Upravičenec lahko kandidira na proračunska sredstva za en objekt le enkrat.</w:t>
      </w:r>
    </w:p>
    <w:p w14:paraId="1414CAF5" w14:textId="77777777" w:rsidR="006476A7" w:rsidRPr="00A0451E" w:rsidRDefault="006476A7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Do sredstev niso upravičene pravne osebe.</w:t>
      </w:r>
    </w:p>
    <w:p w14:paraId="7CBAD05F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Javni razpis</w:t>
      </w:r>
    </w:p>
    <w:p w14:paraId="25D8D5A2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3. člen</w:t>
      </w:r>
    </w:p>
    <w:p w14:paraId="0A886AEA" w14:textId="7955BDF6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Sredstva za postavitev MČN v Občini Solčava se zagotavljajo iz občinskega proračuna, njihovo višino za posamezno leto določi občinski svet s proračunom. Na podlagi določene višine sredstev se objavi javni razpis, ki natančno določa pogoje pridobitve sredstev.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Sredstva za posamezno stanovanjsko ali večstanovanjsko stavbo  oziroma v primeru čiščenja iz več stanovanjskih stavb z eno malo komunalno čistilno napravo, je sofinanciranje upravičeno največ do </w:t>
      </w:r>
      <w:r w:rsidR="00CC290C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50 % 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>vrednosti nabave, montaže in zagona male komunalne čistilne naprave brez DDV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>.</w:t>
      </w:r>
    </w:p>
    <w:p w14:paraId="2E7A5C4A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4. člen</w:t>
      </w:r>
    </w:p>
    <w:p w14:paraId="27334F16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Javni razpis se objavi na občinski spletni strani ter razpošlje v obliki neposredne pošte po gospodinjstvih v občini. V javnem razpisu se določi najmanj: </w:t>
      </w:r>
    </w:p>
    <w:p w14:paraId="766DCE6A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1. Naziv in sedež občine </w:t>
      </w:r>
    </w:p>
    <w:p w14:paraId="6D94A706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2. Pravno podlago za izvedbo razpisa </w:t>
      </w:r>
    </w:p>
    <w:p w14:paraId="7AD88E62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3. Predmet javnega razpisa </w:t>
      </w:r>
    </w:p>
    <w:p w14:paraId="60DB3385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4. Osnovne pogoje za kandidiranje na razpisu z morebitnimi dodatnimi merili </w:t>
      </w:r>
    </w:p>
    <w:p w14:paraId="54546123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5. Okvirna višina sredstev </w:t>
      </w:r>
    </w:p>
    <w:p w14:paraId="441F642A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6. Določitev obdobja do katerega morajo biti sredstva porabljena </w:t>
      </w:r>
    </w:p>
    <w:p w14:paraId="0352810B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7. Rok in naslov za vložitev vlog </w:t>
      </w:r>
    </w:p>
    <w:p w14:paraId="0F2D380C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lastRenderedPageBreak/>
        <w:t xml:space="preserve">8. Rok v katerem bodo potencialni upravičenci obveščeni o izidu </w:t>
      </w:r>
    </w:p>
    <w:p w14:paraId="54CBEEEA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9. Kraj, čas in osebo pri kateri lahko upravičenci pridobijo informacije in razpisno dokumentacijo.</w:t>
      </w:r>
    </w:p>
    <w:p w14:paraId="2E996D96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Postopek</w:t>
      </w:r>
    </w:p>
    <w:p w14:paraId="4F0DE085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5. člen</w:t>
      </w:r>
    </w:p>
    <w:p w14:paraId="626B1DAA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Postopek za dodelitev proračunskih sredstev v skladu z razpisnimi pogoji obravnava </w:t>
      </w:r>
      <w:r w:rsidRPr="00A0451E">
        <w:rPr>
          <w:rFonts w:ascii="Calibri" w:hAnsi="Calibri"/>
          <w:b/>
        </w:rPr>
        <w:t>Odbor za okolje in urejanje prostora</w:t>
      </w:r>
      <w:r w:rsidRPr="00A0451E">
        <w:rPr>
          <w:rFonts w:ascii="Calibri" w:hAnsi="Calibri"/>
        </w:rPr>
        <w:t xml:space="preserve">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(v nadaljevanju odbor). </w:t>
      </w:r>
    </w:p>
    <w:p w14:paraId="425DEA4F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Naloge odbora: </w:t>
      </w:r>
    </w:p>
    <w:p w14:paraId="27F2B397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1. priprava razpisa in razpisne dokumentacije, </w:t>
      </w:r>
    </w:p>
    <w:p w14:paraId="24E067FF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2. odpiranje in pregled vlog, </w:t>
      </w:r>
    </w:p>
    <w:p w14:paraId="500267B2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3. ocena upravičenosti vlog, </w:t>
      </w:r>
    </w:p>
    <w:p w14:paraId="0750EB23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4. priprava poročila s predlogom prejemnikov in višine sredstev, </w:t>
      </w:r>
    </w:p>
    <w:p w14:paraId="46595E87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5. druge naloge povezane z uspešno izvedbo razpisa. </w:t>
      </w:r>
    </w:p>
    <w:p w14:paraId="6D8C3F73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O dodelitvi subvencije na predlog odbora odloči občinska uprava z upravno odločbo. </w:t>
      </w:r>
    </w:p>
    <w:p w14:paraId="386B19E3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Z upravičencem, ki mu je bila z odločbo dodeljena subvencija, občina sklene pogodbo, v kateri se povzamejo pravice in obveznosti občine in upravičenca, skladno s tem pravilnikom in razpisnimi pogoji.</w:t>
      </w:r>
    </w:p>
    <w:p w14:paraId="7FCCDDB9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Višina sofinanciranja in upravičeni stroški</w:t>
      </w:r>
    </w:p>
    <w:p w14:paraId="7162EE40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6. člen</w:t>
      </w:r>
    </w:p>
    <w:p w14:paraId="7B5B0AC0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Višina pomoči: </w:t>
      </w:r>
    </w:p>
    <w:p w14:paraId="6EB8718A" w14:textId="2B8914D8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do 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>50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 % upravičenih stroškov za postavitev MČN oziroma največ 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>2.000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>,00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€ na 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>MČN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oziroma za rastlinsko čistilno napravo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brez DDV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. Sofinancira se postavitev ene MČN za en stanovanjski objekt kot tudi postavitev ene MČN za več stanovanjskih objektov. 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>V primeru postavitve ene MČN za več stanovanjskih objektov so upravičeni stroški v višini 50 %</w:t>
      </w:r>
      <w:r w:rsidR="00A0451E" w:rsidRPr="00A0451E">
        <w:rPr>
          <w:rFonts w:ascii="Arial" w:eastAsia="Times New Roman" w:hAnsi="Arial" w:cs="Arial"/>
          <w:sz w:val="18"/>
          <w:szCs w:val="18"/>
          <w:lang w:eastAsia="sl-SI"/>
        </w:rPr>
        <w:t>,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oziroma največ 2.000,00 EUR po stanovanjskem objektu.</w:t>
      </w:r>
    </w:p>
    <w:p w14:paraId="34E8BCD6" w14:textId="7F350AEA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V primeru, da bo skupni znesek sredstev, ki bi jih lahko vlagatelji pridobili na podlagi razpisa, presegal znesek, ki je zato namenjen v proračunu, se vsaki vlogi proporcionalno zniža odstotek sofinanciranja. V tem primeru se vlagatelje ob odobritvi sredstev pozove, da se izjasnijo ali bodo sredstva koristili, ali ne. V primeru, da se določeni vlagatelji odpovedo koriščenju sredstev, se ta sredstva razdelijo med ostale vlagatelje, do maksimalne višine, določene s pravilnikom (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>50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 % upravičenih stroškov oziroma 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>2.000,00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  <w:r w:rsidR="000F3B07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EUR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na </w:t>
      </w:r>
      <w:r w:rsidR="00492A9E" w:rsidRPr="00A0451E">
        <w:rPr>
          <w:rFonts w:ascii="Arial" w:eastAsia="Times New Roman" w:hAnsi="Arial" w:cs="Arial"/>
          <w:sz w:val="18"/>
          <w:szCs w:val="18"/>
          <w:lang w:eastAsia="sl-SI"/>
        </w:rPr>
        <w:t>MČN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).</w:t>
      </w:r>
    </w:p>
    <w:p w14:paraId="5FA12167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Upravičeni stroški</w:t>
      </w:r>
    </w:p>
    <w:p w14:paraId="438B4715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7. člen</w:t>
      </w:r>
    </w:p>
    <w:p w14:paraId="5132C23A" w14:textId="71ADEB13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Upravičeni stroški so stroški nakupa MČN velikosti do 50 PE z vključenimi stroški montaže in vgradnje (tudi izkop) ter njenega prvega zagona z nastavitvijo parametrov. Upravičeni stroški za posamezni razpis lahko nastanejo v letu objave razpisa za posamezno proračunsko leto.</w:t>
      </w:r>
    </w:p>
    <w:p w14:paraId="2351FD7E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Pogoji in omejitve</w:t>
      </w:r>
    </w:p>
    <w:p w14:paraId="1B769D1F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8. člen</w:t>
      </w:r>
    </w:p>
    <w:p w14:paraId="307679A4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Vloga mora zadostiti naslednjim pogojem: </w:t>
      </w:r>
    </w:p>
    <w:p w14:paraId="4C255814" w14:textId="57B1B541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mala komunalna čistilna naprava mora imeti certifikat oziroma listino o skladnosti izdelka z zahtevami glede doseganja mejnih vrednostih parametrov odpadnih vod, kot jih predpisuje Uredba o emisiji snovi pri odvajanju odpadnih vod iz malih komunalnih čistilnih naprav (Uradni list RS, št. 98/07, 30/10</w:t>
      </w:r>
      <w:r w:rsidR="006476A7" w:rsidRPr="00A0451E">
        <w:rPr>
          <w:rFonts w:ascii="Arial" w:eastAsia="Times New Roman" w:hAnsi="Arial" w:cs="Arial"/>
          <w:sz w:val="18"/>
          <w:szCs w:val="18"/>
          <w:lang w:eastAsia="sl-SI"/>
        </w:rPr>
        <w:t>, če gre za tipsko malo komunalno čistilno napravo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; </w:t>
      </w:r>
    </w:p>
    <w:p w14:paraId="4FB0C664" w14:textId="77777777" w:rsidR="00795F3B" w:rsidRPr="00A0451E" w:rsidRDefault="006476A7" w:rsidP="00CC290C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Mala komunalna čistilna naprava mora imeti navodila dobavitelja za obratovanje in vzdrževanje naprave</w:t>
      </w:r>
    </w:p>
    <w:p w14:paraId="4BB7BCF9" w14:textId="77777777" w:rsidR="00795F3B" w:rsidRPr="00A0451E" w:rsidRDefault="00795F3B" w:rsidP="00CC290C">
      <w:pPr>
        <w:pStyle w:val="Odstavekseznama"/>
        <w:spacing w:after="21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</w:p>
    <w:p w14:paraId="62D983B5" w14:textId="57272E9A" w:rsidR="00C15F9F" w:rsidRPr="00A0451E" w:rsidRDefault="00C15F9F" w:rsidP="00CC290C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lastRenderedPageBreak/>
        <w:t>Če gre za odvajanje v vodotok, mora upravičenec pridobiti vodno soglasje v skladu s predpisi, ki urejajo vode in pregledno situacijo, iz katere je razvidno mesto iztoka iz male komunalne čistilne naprave v vode, opredeljeno s koordinatami v državnem koordinat</w:t>
      </w:r>
      <w:r w:rsidR="00A0451E" w:rsidRPr="00A0451E">
        <w:rPr>
          <w:rFonts w:ascii="Arial" w:eastAsia="Times New Roman" w:hAnsi="Arial" w:cs="Arial"/>
          <w:sz w:val="18"/>
          <w:szCs w:val="18"/>
          <w:lang w:eastAsia="sl-SI"/>
        </w:rPr>
        <w:t>ne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m sistemu za raven merila 1:5.000 in ime vodotoka</w:t>
      </w:r>
    </w:p>
    <w:p w14:paraId="4D9E9C22" w14:textId="77777777" w:rsidR="00795F3B" w:rsidRPr="00A0451E" w:rsidRDefault="00795F3B" w:rsidP="00CC290C">
      <w:pPr>
        <w:pStyle w:val="Odstavekseznama"/>
        <w:rPr>
          <w:rFonts w:ascii="Arial" w:eastAsia="Times New Roman" w:hAnsi="Arial" w:cs="Arial"/>
          <w:sz w:val="18"/>
          <w:szCs w:val="18"/>
          <w:lang w:eastAsia="sl-SI"/>
        </w:rPr>
      </w:pPr>
    </w:p>
    <w:p w14:paraId="58D894F9" w14:textId="77777777" w:rsidR="00A926AC" w:rsidRPr="00A0451E" w:rsidRDefault="00795F3B" w:rsidP="00CC290C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po vgradnji MČN mora upravičenec o tem obvestiti občino;</w:t>
      </w:r>
    </w:p>
    <w:p w14:paraId="07D7FF62" w14:textId="77777777" w:rsidR="00A926AC" w:rsidRPr="00A0451E" w:rsidRDefault="00A926AC" w:rsidP="00CC290C">
      <w:pPr>
        <w:pStyle w:val="Odstavekseznama"/>
        <w:spacing w:after="210" w:line="240" w:lineRule="auto"/>
        <w:ind w:left="60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46D0DCD" w14:textId="77777777" w:rsidR="00A926AC" w:rsidRPr="00A0451E" w:rsidRDefault="00A926AC" w:rsidP="00CC290C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Prve meritve se izvedejo po vzpostavitvi stabilnih obratovalnih razmer, vendar ne prej kakor v treh in ne pozneje kakor v devetih </w:t>
      </w:r>
      <w:r w:rsidR="009F2008" w:rsidRPr="00A0451E">
        <w:rPr>
          <w:rFonts w:ascii="Arial" w:eastAsia="Times New Roman" w:hAnsi="Arial" w:cs="Arial"/>
          <w:sz w:val="18"/>
          <w:szCs w:val="18"/>
          <w:lang w:eastAsia="sl-SI"/>
        </w:rPr>
        <w:t>mesecih po prvem zagonu naprave</w:t>
      </w:r>
    </w:p>
    <w:p w14:paraId="66B7119D" w14:textId="77777777" w:rsidR="00795F3B" w:rsidRPr="00A0451E" w:rsidRDefault="00795F3B" w:rsidP="00CC290C">
      <w:pPr>
        <w:pStyle w:val="Odstavekseznama"/>
        <w:spacing w:after="21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</w:p>
    <w:p w14:paraId="182BB151" w14:textId="77777777" w:rsidR="009F2008" w:rsidRPr="00A0451E" w:rsidRDefault="009F2008" w:rsidP="00CC290C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Izvajalec javne službe po opravljenih prvih meritvah 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napravo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pregleda enkrat na tri leta, pri čemer prvi pregled izvede prvo naslednje koledarsko leto po izv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>e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dbi prv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>ih meritev, o pregledu pa izda P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oročilo na obrazcu in po n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>avodilu iz P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riloge 2, Uredbe 98/15</w:t>
      </w:r>
      <w:r w:rsidR="00795F3B" w:rsidRPr="00A0451E">
        <w:rPr>
          <w:rFonts w:ascii="Arial" w:eastAsia="Times New Roman" w:hAnsi="Arial" w:cs="Arial"/>
          <w:sz w:val="18"/>
          <w:szCs w:val="18"/>
          <w:lang w:eastAsia="sl-SI"/>
        </w:rPr>
        <w:t>.</w:t>
      </w:r>
    </w:p>
    <w:p w14:paraId="697E04C7" w14:textId="77777777" w:rsidR="00A0451E" w:rsidRPr="00A0451E" w:rsidRDefault="00A0451E" w:rsidP="00A0451E">
      <w:pPr>
        <w:pStyle w:val="Odstavekseznama"/>
        <w:rPr>
          <w:rFonts w:ascii="Arial" w:eastAsia="Times New Roman" w:hAnsi="Arial" w:cs="Arial"/>
          <w:sz w:val="18"/>
          <w:szCs w:val="18"/>
          <w:lang w:eastAsia="sl-SI"/>
        </w:rPr>
      </w:pPr>
    </w:p>
    <w:p w14:paraId="317149E5" w14:textId="53E2A3D4" w:rsidR="00A0451E" w:rsidRPr="00A0451E" w:rsidRDefault="00A0451E" w:rsidP="00A0451E">
      <w:pPr>
        <w:pStyle w:val="Odstavekseznama"/>
        <w:numPr>
          <w:ilvl w:val="0"/>
          <w:numId w:val="1"/>
        </w:numPr>
        <w:spacing w:after="210" w:line="240" w:lineRule="auto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Čiščenje komunalne odpadne vode v mali komunalni čistilni napravi mora biti skladno z ostalimi določili 4. člena Uredbe o emisiji snovi pri odvajanju odpadnih vod iz malih komunalnih čistilnih naprav (Uradni list RS, št. 98/07, 30/10) glede ustreznosti čiščenja v mali komunalni čistilni napravi.</w:t>
      </w:r>
    </w:p>
    <w:p w14:paraId="4D26302F" w14:textId="622CAF34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</w:t>
      </w:r>
      <w:r w:rsidR="009F2008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voditi je potrebno </w:t>
      </w:r>
      <w:r w:rsidR="009F2008" w:rsidRPr="00A0451E">
        <w:rPr>
          <w:rFonts w:ascii="Times New Roman" w:hAnsi="Times New Roman" w:cs="Times New Roman"/>
          <w:sz w:val="14"/>
          <w:szCs w:val="14"/>
        </w:rPr>
        <w:t xml:space="preserve">  </w:t>
      </w:r>
      <w:r w:rsidR="009F2008" w:rsidRPr="00A0451E">
        <w:t>zapise o opravljenih delih na mali komunalni čistilni napravi,</w:t>
      </w:r>
    </w:p>
    <w:p w14:paraId="4D134BFF" w14:textId="77777777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lokacija postavitve MČN mora omogočati dostop in neovirano praznjenje;</w:t>
      </w:r>
    </w:p>
    <w:p w14:paraId="78575611" w14:textId="77777777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upravičenci morajo razpolagati z zemljiščem na katerem načrtuje postavitev MČN;</w:t>
      </w:r>
      <w:r w:rsidR="00493E29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</w:p>
    <w:p w14:paraId="498DC19C" w14:textId="605BE890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upravičenci, ki bodo za več objektov postavili skupno čistilno napravo morajo vlogi priložiti podpisan medsebojni dogovor vseh uporabnikov MČN, ki ni časovno omejen in določiti osebo, ki bo zadolžena za</w:t>
      </w:r>
      <w:r w:rsidR="00777CC1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prijavo na javni razpis in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upravljanje MČN;</w:t>
      </w:r>
    </w:p>
    <w:p w14:paraId="5E496C31" w14:textId="77777777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upravičenci lahko pridobijo sredstva za isto naložbo le enkrat. Kolikor je upravičenec že prejel javna sredstva za isti namen, do sredstev po tem razpisu ni upravičen;</w:t>
      </w:r>
    </w:p>
    <w:p w14:paraId="41C86A91" w14:textId="77777777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do sofinanciranja je upravičena le nabava in vgradnja nove opreme;</w:t>
      </w:r>
    </w:p>
    <w:p w14:paraId="40AD238D" w14:textId="77777777" w:rsidR="00D95C3F" w:rsidRPr="00A0451E" w:rsidRDefault="00D95C3F" w:rsidP="003217E1">
      <w:pPr>
        <w:spacing w:after="210" w:line="240" w:lineRule="auto"/>
        <w:ind w:firstLine="240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sredstva se ne dodelijo za naložbe izven območja Občine </w:t>
      </w:r>
      <w:r w:rsidR="003217E1" w:rsidRPr="00A0451E">
        <w:rPr>
          <w:rFonts w:ascii="Arial" w:eastAsia="Times New Roman" w:hAnsi="Arial" w:cs="Arial"/>
          <w:sz w:val="18"/>
          <w:szCs w:val="18"/>
          <w:lang w:eastAsia="sl-SI"/>
        </w:rPr>
        <w:t>Solčava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.</w:t>
      </w:r>
    </w:p>
    <w:p w14:paraId="4D39C11F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Zahtevek za izplačilo</w:t>
      </w:r>
    </w:p>
    <w:p w14:paraId="3BB2A77E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9. člen</w:t>
      </w:r>
    </w:p>
    <w:p w14:paraId="4FD04F75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Upravičenci za izplačilo sredstev vlagajo zahtevke. Upravičenci na podlagi odločbe o dodelitvi sredstev na občino pošljejo zahtevek za izplačilo z vsemi prilogami zahtevanimi v javnem razpisu. </w:t>
      </w:r>
    </w:p>
    <w:p w14:paraId="05852EAC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Pred vložitvijo zahtevka mora biti naložba zaključena in plačani vsi računi.</w:t>
      </w:r>
    </w:p>
    <w:p w14:paraId="615C36ED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KONČNE DOLOČBE</w:t>
      </w:r>
    </w:p>
    <w:p w14:paraId="29B41603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10. člen</w:t>
      </w:r>
    </w:p>
    <w:p w14:paraId="7CBD4ADA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Za nadzor nad namensko porabo proračunskih sredstev za postavitev MČN v Občini </w:t>
      </w:r>
      <w:r w:rsidR="00493E29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Solčava 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je zadolžena občinska uprava. Občina </w:t>
      </w:r>
      <w:r w:rsidR="00493E29" w:rsidRPr="00A0451E">
        <w:rPr>
          <w:rFonts w:ascii="Arial" w:eastAsia="Times New Roman" w:hAnsi="Arial" w:cs="Arial"/>
          <w:sz w:val="18"/>
          <w:szCs w:val="18"/>
          <w:lang w:eastAsia="sl-SI"/>
        </w:rPr>
        <w:t>Solčava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lahko kadarkoli po dodelitvi sredstev preveri namensko porabo sredstev na terenu.</w:t>
      </w:r>
    </w:p>
    <w:p w14:paraId="04ED7E44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11. člen</w:t>
      </w:r>
    </w:p>
    <w:p w14:paraId="2611ADED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Upravičenec je dolžan vrniti nenamensko porabljena sredstva skupaj z zakonitimi zamudnimi obresti, ki se obračunavajo od dneva izplačila upravičencu, do dneva vračila sredstev v primerih, ko se ugotovi: </w:t>
      </w:r>
    </w:p>
    <w:p w14:paraId="0F4A31EB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da so bila dodeljena sredstva delno ali v celoti nenamensko porabljena, </w:t>
      </w:r>
    </w:p>
    <w:p w14:paraId="2C69CF87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da je upravičenec za katerikoli namen pridobitve sredstev navajal neresnične podatke, </w:t>
      </w:r>
    </w:p>
    <w:p w14:paraId="724B28A2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– da je upravičenec MČN odtujil pred pretekom petih let od dneva vgradnje, </w:t>
      </w:r>
    </w:p>
    <w:p w14:paraId="4862D0B4" w14:textId="77777777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– druge nepravilnosti pri uporabi sredstev.</w:t>
      </w:r>
    </w:p>
    <w:p w14:paraId="11ED5AFE" w14:textId="77777777" w:rsidR="00D95C3F" w:rsidRPr="00A0451E" w:rsidRDefault="00D95C3F" w:rsidP="00D95C3F">
      <w:pPr>
        <w:spacing w:after="21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b/>
          <w:bCs/>
          <w:sz w:val="18"/>
          <w:szCs w:val="18"/>
          <w:lang w:eastAsia="sl-SI"/>
        </w:rPr>
        <w:t>12. člen</w:t>
      </w:r>
    </w:p>
    <w:p w14:paraId="59C86E54" w14:textId="048ABCE1" w:rsidR="00D95C3F" w:rsidRPr="00A0451E" w:rsidRDefault="00D95C3F" w:rsidP="00D95C3F">
      <w:pPr>
        <w:spacing w:after="210" w:line="240" w:lineRule="auto"/>
        <w:ind w:firstLine="240"/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lastRenderedPageBreak/>
        <w:t xml:space="preserve">Ta pravilnik začne veljati </w:t>
      </w:r>
      <w:r w:rsidR="00E11A4E" w:rsidRPr="00A0451E">
        <w:rPr>
          <w:rFonts w:ascii="Arial" w:eastAsia="Times New Roman" w:hAnsi="Arial" w:cs="Arial"/>
          <w:sz w:val="18"/>
          <w:szCs w:val="18"/>
          <w:lang w:eastAsia="sl-SI"/>
        </w:rPr>
        <w:t>naslednji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 delovni dan po objavi v </w:t>
      </w:r>
      <w:r w:rsidR="00493E29" w:rsidRPr="00A0451E">
        <w:rPr>
          <w:rFonts w:ascii="Arial" w:hAnsi="Arial" w:cs="Arial"/>
          <w:sz w:val="18"/>
          <w:szCs w:val="18"/>
        </w:rPr>
        <w:t>Uradnem glasilu Zgornjesavinjskih občin</w:t>
      </w:r>
      <w:r w:rsidRPr="00A0451E">
        <w:rPr>
          <w:rFonts w:ascii="Arial" w:eastAsia="Times New Roman" w:hAnsi="Arial" w:cs="Arial"/>
          <w:sz w:val="18"/>
          <w:szCs w:val="18"/>
          <w:lang w:eastAsia="sl-SI"/>
        </w:rPr>
        <w:t>.</w:t>
      </w:r>
      <w:r w:rsidR="000E6DF5">
        <w:rPr>
          <w:rFonts w:ascii="Arial" w:eastAsia="Times New Roman" w:hAnsi="Arial" w:cs="Arial"/>
          <w:sz w:val="18"/>
          <w:szCs w:val="18"/>
          <w:lang w:eastAsia="sl-SI"/>
        </w:rPr>
        <w:t xml:space="preserve"> Z dnem uveljavitve tega pravilnika preneha veljati Pravilnik o sofinanciranju malih komunalnih čistilnih naprav na območju Občine Solčava številka: 3542-0005/2016-1 z dne 11.05.2016 objavljen v Uradnem glasilu Zgornjesavinjskih občin 02/2016.</w:t>
      </w:r>
    </w:p>
    <w:p w14:paraId="793D8539" w14:textId="77777777" w:rsidR="00AA4647" w:rsidRDefault="00AA4647" w:rsidP="00AA464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35ECCB1" w14:textId="77777777" w:rsidR="006C717C" w:rsidRPr="00A0451E" w:rsidRDefault="006C717C" w:rsidP="00AA464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82CCD73" w14:textId="77777777" w:rsidR="00AA4647" w:rsidRPr="00A0451E" w:rsidRDefault="00AA4647" w:rsidP="00AA464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9D2846C" w14:textId="77777777" w:rsidR="00AA4647" w:rsidRPr="00A0451E" w:rsidRDefault="00AA4647" w:rsidP="00AA464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</w:p>
    <w:p w14:paraId="1C2F26A9" w14:textId="0CB86FB4" w:rsidR="00D95C3F" w:rsidRPr="00A0451E" w:rsidRDefault="00493E29" w:rsidP="00AA464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Številka:</w:t>
      </w:r>
      <w:r w:rsidR="006C717C">
        <w:rPr>
          <w:rFonts w:ascii="Arial" w:eastAsia="Times New Roman" w:hAnsi="Arial" w:cs="Arial"/>
          <w:sz w:val="18"/>
          <w:szCs w:val="18"/>
          <w:lang w:eastAsia="sl-SI"/>
        </w:rPr>
        <w:t xml:space="preserve"> 3542-0006/2017-1</w:t>
      </w:r>
    </w:p>
    <w:p w14:paraId="57EAEBF2" w14:textId="1AA203C4" w:rsidR="00D95C3F" w:rsidRPr="00A0451E" w:rsidRDefault="00493E29" w:rsidP="00493E29">
      <w:pPr>
        <w:spacing w:after="21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sz w:val="18"/>
          <w:szCs w:val="18"/>
          <w:lang w:eastAsia="sl-SI"/>
        </w:rPr>
        <w:t>Solčava</w:t>
      </w:r>
      <w:r w:rsidR="00D95C3F" w:rsidRPr="00A0451E">
        <w:rPr>
          <w:rFonts w:ascii="Arial" w:eastAsia="Times New Roman" w:hAnsi="Arial" w:cs="Arial"/>
          <w:sz w:val="18"/>
          <w:szCs w:val="18"/>
          <w:lang w:eastAsia="sl-SI"/>
        </w:rPr>
        <w:t xml:space="preserve">, dne </w:t>
      </w:r>
      <w:r w:rsidR="006C717C">
        <w:rPr>
          <w:rFonts w:ascii="Arial" w:eastAsia="Times New Roman" w:hAnsi="Arial" w:cs="Arial"/>
          <w:sz w:val="18"/>
          <w:szCs w:val="18"/>
          <w:lang w:eastAsia="sl-SI"/>
        </w:rPr>
        <w:t>31.05.2017</w:t>
      </w:r>
    </w:p>
    <w:p w14:paraId="26DF8C67" w14:textId="77777777" w:rsidR="006C717C" w:rsidRDefault="006C717C" w:rsidP="00493E29">
      <w:pPr>
        <w:spacing w:after="0" w:line="240" w:lineRule="auto"/>
        <w:ind w:left="6372"/>
        <w:jc w:val="center"/>
        <w:rPr>
          <w:rFonts w:ascii="Arial" w:eastAsia="Times New Roman" w:hAnsi="Arial" w:cs="Arial"/>
          <w:kern w:val="18"/>
          <w:sz w:val="18"/>
          <w:szCs w:val="18"/>
          <w:lang w:eastAsia="sl-SI"/>
        </w:rPr>
      </w:pPr>
    </w:p>
    <w:p w14:paraId="6A6A98D9" w14:textId="77777777" w:rsidR="00493E29" w:rsidRPr="00A0451E" w:rsidRDefault="00D95C3F" w:rsidP="00493E29">
      <w:pPr>
        <w:spacing w:after="0" w:line="240" w:lineRule="auto"/>
        <w:ind w:left="6372"/>
        <w:jc w:val="center"/>
        <w:rPr>
          <w:rFonts w:ascii="Arial" w:eastAsia="Times New Roman" w:hAnsi="Arial" w:cs="Arial"/>
          <w:kern w:val="18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kern w:val="18"/>
          <w:sz w:val="18"/>
          <w:szCs w:val="18"/>
          <w:lang w:eastAsia="sl-SI"/>
        </w:rPr>
        <w:t>Župan</w:t>
      </w:r>
      <w:r w:rsidR="00493E29" w:rsidRPr="00A0451E">
        <w:rPr>
          <w:rFonts w:ascii="Arial" w:eastAsia="Times New Roman" w:hAnsi="Arial" w:cs="Arial"/>
          <w:kern w:val="18"/>
          <w:sz w:val="18"/>
          <w:szCs w:val="18"/>
          <w:lang w:eastAsia="sl-SI"/>
        </w:rPr>
        <w:t>ja</w:t>
      </w:r>
      <w:r w:rsidRPr="00A0451E">
        <w:rPr>
          <w:rFonts w:ascii="Arial" w:eastAsia="Times New Roman" w:hAnsi="Arial" w:cs="Arial"/>
          <w:kern w:val="18"/>
          <w:sz w:val="18"/>
          <w:szCs w:val="18"/>
          <w:lang w:eastAsia="sl-SI"/>
        </w:rPr>
        <w:br/>
        <w:t xml:space="preserve">Občine </w:t>
      </w:r>
      <w:r w:rsidR="00493E29" w:rsidRPr="00A0451E">
        <w:rPr>
          <w:rFonts w:ascii="Arial" w:eastAsia="Times New Roman" w:hAnsi="Arial" w:cs="Arial"/>
          <w:sz w:val="18"/>
          <w:szCs w:val="18"/>
          <w:lang w:eastAsia="sl-SI"/>
        </w:rPr>
        <w:t>Solčava</w:t>
      </w:r>
    </w:p>
    <w:p w14:paraId="1676B94A" w14:textId="77777777" w:rsidR="00D95C3F" w:rsidRPr="00A0451E" w:rsidRDefault="00493E29" w:rsidP="00493E29">
      <w:pPr>
        <w:spacing w:after="0" w:line="240" w:lineRule="exact"/>
        <w:ind w:left="6372"/>
        <w:jc w:val="center"/>
        <w:rPr>
          <w:rFonts w:ascii="Arial" w:eastAsia="Times New Roman" w:hAnsi="Arial" w:cs="Arial"/>
          <w:kern w:val="18"/>
          <w:sz w:val="18"/>
          <w:szCs w:val="18"/>
          <w:lang w:eastAsia="sl-SI"/>
        </w:rPr>
      </w:pPr>
      <w:r w:rsidRPr="00A0451E">
        <w:rPr>
          <w:rFonts w:ascii="Arial" w:eastAsia="Times New Roman" w:hAnsi="Arial" w:cs="Arial"/>
          <w:kern w:val="18"/>
          <w:sz w:val="18"/>
          <w:szCs w:val="18"/>
          <w:lang w:eastAsia="sl-SI"/>
        </w:rPr>
        <w:t>Katarina PRELESNIK</w:t>
      </w:r>
      <w:r w:rsidR="00D95C3F" w:rsidRPr="00A0451E">
        <w:rPr>
          <w:rFonts w:ascii="Arial" w:eastAsia="Times New Roman" w:hAnsi="Arial" w:cs="Arial"/>
          <w:kern w:val="18"/>
          <w:sz w:val="18"/>
          <w:szCs w:val="18"/>
          <w:lang w:eastAsia="sl-SI"/>
        </w:rPr>
        <w:t xml:space="preserve"> l.r.</w:t>
      </w:r>
    </w:p>
    <w:p w14:paraId="63AF1A68" w14:textId="77777777" w:rsidR="00B51AD4" w:rsidRPr="00A0451E" w:rsidRDefault="00B51AD4" w:rsidP="00493E29">
      <w:pPr>
        <w:jc w:val="center"/>
      </w:pPr>
    </w:p>
    <w:sectPr w:rsidR="00B51AD4" w:rsidRPr="00A04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521A0"/>
    <w:multiLevelType w:val="hybridMultilevel"/>
    <w:tmpl w:val="CE7AA95C"/>
    <w:lvl w:ilvl="0" w:tplc="EA7AC99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320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3F"/>
    <w:rsid w:val="000E6DF5"/>
    <w:rsid w:val="000F3B07"/>
    <w:rsid w:val="00244512"/>
    <w:rsid w:val="002A3C6E"/>
    <w:rsid w:val="003217E1"/>
    <w:rsid w:val="00352CB7"/>
    <w:rsid w:val="003B2407"/>
    <w:rsid w:val="0040584D"/>
    <w:rsid w:val="00482025"/>
    <w:rsid w:val="00492A9E"/>
    <w:rsid w:val="00493E29"/>
    <w:rsid w:val="004B41D1"/>
    <w:rsid w:val="005C2940"/>
    <w:rsid w:val="006476A7"/>
    <w:rsid w:val="006C717C"/>
    <w:rsid w:val="00734533"/>
    <w:rsid w:val="00777CC1"/>
    <w:rsid w:val="007822BE"/>
    <w:rsid w:val="00795F3B"/>
    <w:rsid w:val="00882E55"/>
    <w:rsid w:val="009F2008"/>
    <w:rsid w:val="00A0451E"/>
    <w:rsid w:val="00A926AC"/>
    <w:rsid w:val="00AA4647"/>
    <w:rsid w:val="00B51AD4"/>
    <w:rsid w:val="00C15F9F"/>
    <w:rsid w:val="00CC290C"/>
    <w:rsid w:val="00D95C3F"/>
    <w:rsid w:val="00E1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7B58"/>
  <w15:docId w15:val="{7FFE6960-65EF-4D58-8F86-B8BB0ACD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5C3F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476A7"/>
    <w:pPr>
      <w:ind w:left="720"/>
      <w:contextualSpacing/>
    </w:pPr>
  </w:style>
  <w:style w:type="paragraph" w:customStyle="1" w:styleId="odstavek1">
    <w:name w:val="odstavek1"/>
    <w:basedOn w:val="Navaden"/>
    <w:rsid w:val="00A926A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73453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3453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3453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3453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34533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7345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52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5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54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70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39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621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595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43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E59F-1C36-4633-A170-678C590A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 Jezernik</dc:creator>
  <cp:lastModifiedBy>Rudi Jezernik</cp:lastModifiedBy>
  <cp:revision>2</cp:revision>
  <cp:lastPrinted>2017-06-09T11:27:00Z</cp:lastPrinted>
  <dcterms:created xsi:type="dcterms:W3CDTF">2024-03-15T12:48:00Z</dcterms:created>
  <dcterms:modified xsi:type="dcterms:W3CDTF">2024-03-15T12:48:00Z</dcterms:modified>
</cp:coreProperties>
</file>