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BE01FA" w:rsidRDefault="00FA0698"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o določitvi objekta, katerega</w:t>
      </w:r>
      <w:r w:rsidR="00BE01FA" w:rsidRPr="009C0677">
        <w:rPr>
          <w:rFonts w:eastAsia="Arial" w:cs="Arial"/>
          <w:b/>
          <w:color w:val="000000" w:themeColor="text1"/>
        </w:rPr>
        <w:t xml:space="preserve"> odstranitev je nujno potrebna in v javno korist</w:t>
      </w:r>
      <w:r w:rsidR="00BE01FA">
        <w:rPr>
          <w:rFonts w:eastAsia="Arial" w:cs="Arial"/>
          <w:b/>
          <w:color w:val="000000" w:themeColor="text1"/>
        </w:rPr>
        <w:t>,</w:t>
      </w:r>
      <w:r w:rsidR="00BE01FA" w:rsidRPr="009C0677">
        <w:rPr>
          <w:rFonts w:eastAsia="Arial" w:cs="Arial"/>
          <w:b/>
          <w:color w:val="000000" w:themeColor="text1"/>
        </w:rPr>
        <w:t xml:space="preserve"> na območju</w:t>
      </w:r>
      <w:r w:rsidR="0017467A">
        <w:rPr>
          <w:rFonts w:eastAsia="Arial" w:cs="Arial"/>
          <w:b/>
          <w:color w:val="000000" w:themeColor="text1"/>
        </w:rPr>
        <w:t xml:space="preserve"> Občine </w:t>
      </w:r>
      <w:r w:rsidR="006966CE">
        <w:rPr>
          <w:rFonts w:eastAsia="Arial" w:cs="Arial"/>
          <w:b/>
          <w:color w:val="000000" w:themeColor="text1"/>
        </w:rPr>
        <w:t>Solčava</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17467A" w:rsidRDefault="00BE01FA" w:rsidP="00A110A3">
      <w:pPr>
        <w:tabs>
          <w:tab w:val="left" w:pos="1134"/>
        </w:tabs>
        <w:spacing w:line="240" w:lineRule="auto"/>
        <w:ind w:left="-23"/>
        <w:jc w:val="both"/>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w:t>
      </w:r>
      <w:r w:rsidR="00A110A3">
        <w:rPr>
          <w:rFonts w:cs="Arial"/>
          <w:color w:val="000000" w:themeColor="text1"/>
        </w:rPr>
        <w:t>no korist odstranitev naslednjega objekta (nepremičnina</w:t>
      </w:r>
      <w:r>
        <w:rPr>
          <w:rFonts w:cs="Arial"/>
          <w:color w:val="000000" w:themeColor="text1"/>
        </w:rPr>
        <w:t xml:space="preserve"> z objekti za odstranitev):</w:t>
      </w:r>
    </w:p>
    <w:p w:rsidR="0017467A" w:rsidRPr="0017467A" w:rsidRDefault="006966CE" w:rsidP="00A110A3">
      <w:pPr>
        <w:pStyle w:val="Odstavekseznama"/>
        <w:numPr>
          <w:ilvl w:val="0"/>
          <w:numId w:val="3"/>
        </w:numPr>
        <w:tabs>
          <w:tab w:val="left" w:pos="1134"/>
        </w:tabs>
        <w:jc w:val="both"/>
        <w:rPr>
          <w:rFonts w:cs="Arial"/>
          <w:color w:val="000000" w:themeColor="text1"/>
        </w:rPr>
      </w:pPr>
      <w:r>
        <w:rPr>
          <w:rFonts w:cs="Arial"/>
          <w:color w:val="000000" w:themeColor="text1"/>
        </w:rPr>
        <w:t>Solčava 45</w:t>
      </w:r>
      <w:r w:rsidR="0017467A">
        <w:rPr>
          <w:rFonts w:cs="Arial"/>
          <w:color w:val="000000" w:themeColor="text1"/>
        </w:rPr>
        <w:t xml:space="preserve">, občina </w:t>
      </w:r>
      <w:r>
        <w:rPr>
          <w:rFonts w:cs="Arial"/>
          <w:color w:val="000000" w:themeColor="text1"/>
        </w:rPr>
        <w:t>Solčava</w:t>
      </w:r>
      <w:r w:rsidR="0017467A">
        <w:rPr>
          <w:rFonts w:cs="Arial"/>
          <w:color w:val="000000" w:themeColor="text1"/>
        </w:rPr>
        <w:t xml:space="preserve">, </w:t>
      </w:r>
      <w:r w:rsidR="0017467A" w:rsidRPr="00F9792A">
        <w:rPr>
          <w:rFonts w:ascii="Helv" w:hAnsi="Helv" w:cs="Helv"/>
          <w:color w:val="000000"/>
        </w:rPr>
        <w:t>številka strokovnega mnenja</w:t>
      </w:r>
      <w:r w:rsidR="0017467A">
        <w:rPr>
          <w:rFonts w:ascii="Helv" w:hAnsi="Helv" w:cs="Helv"/>
          <w:color w:val="000000"/>
        </w:rPr>
        <w:t xml:space="preserve"> SM-</w:t>
      </w:r>
      <w:r>
        <w:rPr>
          <w:rFonts w:ascii="Helv" w:hAnsi="Helv" w:cs="Helv"/>
          <w:color w:val="000000"/>
        </w:rPr>
        <w:t>SLČSL45S</w:t>
      </w:r>
      <w:r w:rsidR="004B2753">
        <w:rPr>
          <w:rFonts w:ascii="Helv" w:hAnsi="Helv" w:cs="Helv"/>
          <w:color w:val="000000"/>
        </w:rPr>
        <w:t>.</w:t>
      </w:r>
    </w:p>
    <w:p w:rsidR="00BE01FA" w:rsidRDefault="00BE01FA" w:rsidP="00032F4E">
      <w:pPr>
        <w:tabs>
          <w:tab w:val="left" w:pos="1134"/>
        </w:tabs>
        <w:spacing w:line="240" w:lineRule="auto"/>
        <w:rPr>
          <w:rFonts w:cs="Arial"/>
          <w:color w:val="000000" w:themeColor="text1"/>
        </w:rPr>
      </w:pP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955A44" w:rsidRPr="00413F83" w:rsidRDefault="00955A44" w:rsidP="00955A44">
      <w:pPr>
        <w:spacing w:line="276" w:lineRule="auto"/>
        <w:rPr>
          <w:rFonts w:cs="Arial"/>
          <w:szCs w:val="20"/>
        </w:rPr>
      </w:pPr>
      <w:r>
        <w:rPr>
          <w:rFonts w:cs="Arial"/>
          <w:szCs w:val="20"/>
        </w:rPr>
        <w:t>Priloge</w:t>
      </w:r>
      <w:r w:rsidRPr="00413F83">
        <w:rPr>
          <w:rFonts w:cs="Arial"/>
          <w:szCs w:val="20"/>
        </w:rPr>
        <w:t>:</w:t>
      </w:r>
    </w:p>
    <w:p w:rsidR="00EC4110" w:rsidRPr="00C621DB" w:rsidRDefault="00EC4110" w:rsidP="00C621DB">
      <w:pPr>
        <w:pStyle w:val="Odstavekseznama"/>
        <w:numPr>
          <w:ilvl w:val="0"/>
          <w:numId w:val="4"/>
        </w:numPr>
        <w:rPr>
          <w:rFonts w:cs="Arial"/>
        </w:rPr>
      </w:pPr>
      <w:r w:rsidRPr="004D1AA1">
        <w:rPr>
          <w:rFonts w:cs="Arial"/>
        </w:rPr>
        <w:t>Dokument  - Mnenje DTP (</w:t>
      </w:r>
      <w:r w:rsidR="00C621DB" w:rsidRPr="00C621DB">
        <w:rPr>
          <w:rFonts w:ascii="Helv" w:hAnsi="Helv" w:cs="Helv"/>
          <w:color w:val="000000"/>
        </w:rPr>
        <w:t>SM-SLČSL45S</w:t>
      </w:r>
      <w:r w:rsidRPr="00C621DB">
        <w:rPr>
          <w:rFonts w:cs="Arial"/>
        </w:rPr>
        <w:t>)</w:t>
      </w:r>
    </w:p>
    <w:p w:rsidR="00955A44" w:rsidRPr="00F801FC" w:rsidRDefault="00F801FC" w:rsidP="00F801FC">
      <w:pPr>
        <w:pStyle w:val="Odstavekseznama"/>
        <w:numPr>
          <w:ilvl w:val="0"/>
          <w:numId w:val="4"/>
        </w:numPr>
        <w:spacing w:line="260" w:lineRule="atLeast"/>
      </w:pPr>
      <w:r>
        <w:rPr>
          <w:rFonts w:eastAsia="Arial" w:cs="Arial"/>
        </w:rPr>
        <w:t>Priloge – Potrditev strokovnih mnenj Sveta Vlade RS za obnovo</w:t>
      </w:r>
    </w:p>
    <w:p w:rsidR="00F801FC" w:rsidRDefault="00F801FC" w:rsidP="00F801FC"/>
    <w:p w:rsidR="00F801FC" w:rsidRDefault="00F801FC" w:rsidP="00F801FC"/>
    <w:p w:rsidR="00EC4110" w:rsidRPr="006270A7" w:rsidRDefault="00EC4110" w:rsidP="00EC4110">
      <w:pPr>
        <w:ind w:right="480"/>
        <w:jc w:val="both"/>
        <w:rPr>
          <w:rFonts w:cs="Arial"/>
        </w:rPr>
      </w:pPr>
      <w:r>
        <w:rPr>
          <w:rFonts w:cs="Arial"/>
        </w:rPr>
        <w:t>Prejmejo</w:t>
      </w:r>
      <w:r w:rsidRPr="006270A7">
        <w:rPr>
          <w:rFonts w:cs="Arial"/>
        </w:rPr>
        <w:t>:</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naravne vire in prostor</w:t>
      </w:r>
    </w:p>
    <w:p w:rsidR="00EB2F69" w:rsidRDefault="00EB2F69"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finance</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kmetijstvo, gozdarstvo in prehrano</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Služba Vlade RS za zakonodajo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Služba Vlade RS za obnovo po poplavah in plazovih</w:t>
      </w:r>
    </w:p>
    <w:p w:rsidR="00EB2F69" w:rsidRPr="00EB2F69" w:rsidRDefault="00EC4110" w:rsidP="00EB2F69">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Svet Vlade RS za obnovo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 xml:space="preserve">Občina </w:t>
      </w:r>
      <w:r w:rsidR="004B2753">
        <w:rPr>
          <w:rFonts w:cs="Arial"/>
          <w:color w:val="000000" w:themeColor="text1"/>
        </w:rPr>
        <w:t>Šoštanj</w:t>
      </w:r>
    </w:p>
    <w:p w:rsidR="00EC4110" w:rsidRDefault="00EC4110"/>
    <w:p w:rsidR="00EC4110" w:rsidRDefault="00EC4110"/>
    <w:p w:rsidR="00EC4110" w:rsidRDefault="00EC4110">
      <w:pPr>
        <w:spacing w:after="160" w:line="259" w:lineRule="auto"/>
      </w:pPr>
      <w:r>
        <w:br w:type="page"/>
      </w:r>
    </w:p>
    <w:p w:rsidR="00EC4110" w:rsidRDefault="00EC4110" w:rsidP="00EC4110">
      <w:pPr>
        <w:rPr>
          <w:b/>
        </w:rPr>
      </w:pPr>
      <w:r w:rsidRPr="00EC4110">
        <w:rPr>
          <w:b/>
        </w:rPr>
        <w:lastRenderedPageBreak/>
        <w:t>Obrazložitev:</w:t>
      </w:r>
    </w:p>
    <w:p w:rsidR="00911B6F" w:rsidRPr="00EC4110" w:rsidRDefault="00911B6F" w:rsidP="00EC4110">
      <w:pPr>
        <w:rPr>
          <w:b/>
        </w:rPr>
      </w:pPr>
    </w:p>
    <w:p w:rsidR="00911B6F" w:rsidRPr="00704149" w:rsidRDefault="00911B6F" w:rsidP="00911B6F">
      <w:pPr>
        <w:spacing w:after="120" w:line="276" w:lineRule="auto"/>
        <w:jc w:val="both"/>
        <w:rPr>
          <w:rFonts w:cs="Arial"/>
          <w:szCs w:val="20"/>
        </w:rPr>
      </w:pPr>
      <w:r>
        <w:t xml:space="preserve">Državna tehnična pisarna, ki skladno z 157. členom Zakona o interventnih ukrepih za odpravo posledic poplav in zemeljskih plazov (Uradni list RS, št. 95/23 in Uradni list RS z dne 1. 9. 2023) in Zakonom o spremembah in dopolnitvah Zakona o interventnih ukrepih za odpravo posledic poplav in zemeljskih plazov iz avgusta 2023 (Uradni list RS, št. 117/23 z dne 20. 11. 2023) (v nadaljevanju ZIUOPZP) </w:t>
      </w:r>
      <w:r w:rsidRPr="00F70D59">
        <w:rPr>
          <w:rFonts w:cs="Arial"/>
        </w:rPr>
        <w:t xml:space="preserve">deluje v sestavu Službe vlade za obnovo po poplavah in plazovih je skladno s 151.b </w:t>
      </w:r>
      <w:r w:rsidRPr="00704149">
        <w:rPr>
          <w:rFonts w:cs="Arial"/>
          <w:szCs w:val="20"/>
        </w:rPr>
        <w:t xml:space="preserve">členom podala strokovno mnenje </w:t>
      </w:r>
      <w:r w:rsidR="004B2753" w:rsidRPr="00704149">
        <w:rPr>
          <w:rFonts w:cs="Arial"/>
          <w:szCs w:val="20"/>
        </w:rPr>
        <w:t>za spodaj navedeni</w:t>
      </w:r>
      <w:r w:rsidRPr="00704149">
        <w:rPr>
          <w:rFonts w:cs="Arial"/>
          <w:szCs w:val="20"/>
        </w:rPr>
        <w:t xml:space="preserve"> </w:t>
      </w:r>
      <w:r w:rsidR="004B2753" w:rsidRPr="00704149">
        <w:rPr>
          <w:rFonts w:cs="Arial"/>
          <w:szCs w:val="20"/>
        </w:rPr>
        <w:t>objekt</w:t>
      </w:r>
      <w:r w:rsidRPr="00704149">
        <w:rPr>
          <w:rFonts w:cs="Arial"/>
          <w:szCs w:val="20"/>
        </w:rPr>
        <w:t>, za katere strokovno ocenjujejo,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C621DB" w:rsidRPr="00704149" w:rsidRDefault="00C621DB" w:rsidP="00C621DB">
      <w:pPr>
        <w:pStyle w:val="Odstavekseznama"/>
        <w:numPr>
          <w:ilvl w:val="0"/>
          <w:numId w:val="3"/>
        </w:numPr>
        <w:tabs>
          <w:tab w:val="left" w:pos="1134"/>
        </w:tabs>
        <w:jc w:val="both"/>
        <w:rPr>
          <w:rFonts w:cs="Arial"/>
          <w:color w:val="000000" w:themeColor="text1"/>
        </w:rPr>
      </w:pPr>
      <w:r w:rsidRPr="00704149">
        <w:rPr>
          <w:rFonts w:cs="Arial"/>
          <w:color w:val="000000" w:themeColor="text1"/>
        </w:rPr>
        <w:t xml:space="preserve">Solčava 45, občina Solčava, </w:t>
      </w:r>
      <w:r w:rsidRPr="00704149">
        <w:rPr>
          <w:rFonts w:cs="Arial"/>
          <w:color w:val="000000"/>
        </w:rPr>
        <w:t>številka strokovnega mnenja SM-SLČSL45S.</w:t>
      </w:r>
    </w:p>
    <w:p w:rsidR="00911B6F" w:rsidRPr="00704149" w:rsidRDefault="004B2753" w:rsidP="004B2753">
      <w:pPr>
        <w:tabs>
          <w:tab w:val="left" w:pos="1134"/>
        </w:tabs>
        <w:ind w:left="360"/>
        <w:rPr>
          <w:rFonts w:cs="Arial"/>
          <w:szCs w:val="20"/>
        </w:rPr>
      </w:pPr>
      <w:r w:rsidRPr="00704149">
        <w:rPr>
          <w:rFonts w:cs="Arial"/>
          <w:szCs w:val="20"/>
        </w:rPr>
        <w:t xml:space="preserve"> </w:t>
      </w:r>
    </w:p>
    <w:p w:rsidR="00C621DB" w:rsidRPr="00704149" w:rsidRDefault="00206FDA" w:rsidP="00704149">
      <w:pPr>
        <w:spacing w:after="120" w:line="276" w:lineRule="auto"/>
        <w:ind w:left="426"/>
        <w:jc w:val="both"/>
        <w:rPr>
          <w:rFonts w:eastAsiaTheme="minorHAnsi" w:cs="Arial"/>
          <w:color w:val="000000"/>
          <w:szCs w:val="20"/>
        </w:rPr>
      </w:pPr>
      <w:r w:rsidRPr="00704149">
        <w:rPr>
          <w:rFonts w:cs="Arial"/>
          <w:szCs w:val="20"/>
        </w:rPr>
        <w:t>Obra</w:t>
      </w:r>
      <w:r w:rsidR="00F70D59" w:rsidRPr="00704149">
        <w:rPr>
          <w:rFonts w:cs="Arial"/>
          <w:szCs w:val="20"/>
        </w:rPr>
        <w:t xml:space="preserve">vnavani objekt na naslovu </w:t>
      </w:r>
      <w:r w:rsidR="00C621DB" w:rsidRPr="00704149">
        <w:rPr>
          <w:rFonts w:cs="Arial"/>
          <w:b/>
          <w:szCs w:val="20"/>
        </w:rPr>
        <w:t>Solčava 45</w:t>
      </w:r>
      <w:r w:rsidR="00F70D59" w:rsidRPr="00704149">
        <w:rPr>
          <w:rFonts w:cs="Arial"/>
          <w:szCs w:val="20"/>
        </w:rPr>
        <w:t xml:space="preserve"> je v neurju, ki je 4.8.2023 prizadelo to območje prizadel </w:t>
      </w:r>
      <w:r w:rsidR="00F70D59" w:rsidRPr="00704149">
        <w:rPr>
          <w:rFonts w:eastAsiaTheme="minorHAnsi" w:cs="Arial"/>
          <w:color w:val="000000"/>
          <w:szCs w:val="20"/>
        </w:rPr>
        <w:t>hudourniški plaz. V Geološkem mnenju o plazovn</w:t>
      </w:r>
      <w:r w:rsidR="00704149" w:rsidRPr="00704149">
        <w:rPr>
          <w:rFonts w:eastAsiaTheme="minorHAnsi" w:cs="Arial"/>
          <w:color w:val="000000"/>
          <w:szCs w:val="20"/>
        </w:rPr>
        <w:t xml:space="preserve">i nevarnosti je ugotovljeno, da je v zaledju obravnavanega objekta nastalo več novih odlomnih robov, kjer se je v strugo hudournika sipal prepereli material. V obstoječem hudourniku se je tako nakopičil material, ki je skupaj z vodo poplavil in zasul nižje ležeči objekt Solčava 45 in ga močno poškodoval. Med drugim je porušil jugozahodni vogal objekta in del obodne stene. Objekt je sicer obdržal svojo stabilnost, vendar ni varen. Ugotovljeno je, da je objekt na nevarnem območju, saj lahko ob močnem deževju pride do obsežnejše ponovne aktivacije </w:t>
      </w:r>
      <w:proofErr w:type="spellStart"/>
      <w:r w:rsidR="00704149" w:rsidRPr="00704149">
        <w:rPr>
          <w:rFonts w:eastAsiaTheme="minorHAnsi" w:cs="Arial"/>
          <w:color w:val="000000"/>
          <w:szCs w:val="20"/>
        </w:rPr>
        <w:t>drobirskega</w:t>
      </w:r>
      <w:proofErr w:type="spellEnd"/>
      <w:r w:rsidR="00704149" w:rsidRPr="00704149">
        <w:rPr>
          <w:rFonts w:eastAsiaTheme="minorHAnsi" w:cs="Arial"/>
          <w:color w:val="000000"/>
          <w:szCs w:val="20"/>
        </w:rPr>
        <w:t xml:space="preserve"> plazu, novih odlomnih robov in posledično do nove </w:t>
      </w:r>
      <w:proofErr w:type="spellStart"/>
      <w:r w:rsidR="00704149" w:rsidRPr="00704149">
        <w:rPr>
          <w:rFonts w:eastAsiaTheme="minorHAnsi" w:cs="Arial"/>
          <w:color w:val="000000"/>
          <w:szCs w:val="20"/>
        </w:rPr>
        <w:t>splazitve</w:t>
      </w:r>
      <w:proofErr w:type="spellEnd"/>
      <w:r w:rsidR="00704149" w:rsidRPr="00704149">
        <w:rPr>
          <w:rFonts w:eastAsiaTheme="minorHAnsi" w:cs="Arial"/>
          <w:color w:val="000000"/>
          <w:szCs w:val="20"/>
        </w:rPr>
        <w:t xml:space="preserve">, kar lahko ogrozi življenja ali zdravje ljudi. Sanacija plazu bo, v kolikor se bo izvajala, obsežna, zahtevna in dolgotrajna. Popravilo objekta ali novogradnja na tem območju iz geološko geomehanskega vidika zato nista sprejemljivi. </w:t>
      </w:r>
    </w:p>
    <w:p w:rsidR="0017467A" w:rsidRPr="00183BC3" w:rsidRDefault="00EB2F69" w:rsidP="00183BC3">
      <w:pPr>
        <w:autoSpaceDE w:val="0"/>
        <w:autoSpaceDN w:val="0"/>
        <w:adjustRightInd w:val="0"/>
        <w:spacing w:line="240" w:lineRule="auto"/>
        <w:rPr>
          <w:rFonts w:eastAsiaTheme="minorHAnsi" w:cs="Arial"/>
          <w:color w:val="000000"/>
          <w:sz w:val="24"/>
        </w:rPr>
      </w:pPr>
      <w:r w:rsidRPr="00EB2F69">
        <w:rPr>
          <w:rFonts w:eastAsiaTheme="minorHAnsi" w:cs="Arial"/>
          <w:color w:val="000000"/>
          <w:sz w:val="24"/>
        </w:rPr>
        <w:t xml:space="preserve"> </w:t>
      </w:r>
      <w:bookmarkStart w:id="0" w:name="_GoBack"/>
      <w:bookmarkEnd w:id="0"/>
    </w:p>
    <w:sectPr w:rsidR="0017467A" w:rsidRPr="00183BC3"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704149">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704149"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704149"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830B2"/>
    <w:rsid w:val="0017467A"/>
    <w:rsid w:val="00183BC3"/>
    <w:rsid w:val="00206FDA"/>
    <w:rsid w:val="002B2739"/>
    <w:rsid w:val="004B2753"/>
    <w:rsid w:val="0061326F"/>
    <w:rsid w:val="006966CE"/>
    <w:rsid w:val="00704149"/>
    <w:rsid w:val="007A4598"/>
    <w:rsid w:val="00911B6F"/>
    <w:rsid w:val="00955A44"/>
    <w:rsid w:val="00A0617B"/>
    <w:rsid w:val="00A110A3"/>
    <w:rsid w:val="00BE01FA"/>
    <w:rsid w:val="00C621DB"/>
    <w:rsid w:val="00DA5F33"/>
    <w:rsid w:val="00DA764C"/>
    <w:rsid w:val="00E216C4"/>
    <w:rsid w:val="00EA2D6C"/>
    <w:rsid w:val="00EB2F69"/>
    <w:rsid w:val="00EC4110"/>
    <w:rsid w:val="00F07EF3"/>
    <w:rsid w:val="00F70D59"/>
    <w:rsid w:val="00F801FC"/>
    <w:rsid w:val="00F9792A"/>
    <w:rsid w:val="00FA0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2.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schemas.microsoft.com/office/2006/documentManagement/types"/>
    <ds:schemaRef ds:uri="3f2c6261-3339-4dac-a32e-723af7836fc3"/>
    <ds:schemaRef ds:uri="http://purl.org/dc/elements/1.1/"/>
    <ds:schemaRef ds:uri="http://schemas.microsoft.com/office/2006/metadata/properties"/>
    <ds:schemaRef ds:uri="http://schemas.microsoft.com/office/infopath/2007/PartnerControls"/>
    <ds:schemaRef ds:uri="3bd31b66-7cdd-4b22-9953-e59f45a0e259"/>
    <ds:schemaRef ds:uri="http://www.w3.org/XML/1998/namespace"/>
    <ds:schemaRef ds:uri="http://purl.org/dc/dcmitype/"/>
  </ds:schemaRefs>
</ds:datastoreItem>
</file>

<file path=customXml/itemProps4.xml><?xml version="1.0" encoding="utf-8"?>
<ds:datastoreItem xmlns:ds="http://schemas.openxmlformats.org/officeDocument/2006/customXml" ds:itemID="{5F1E8628-7489-4728-A8AC-0928BEB7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5</cp:revision>
  <dcterms:created xsi:type="dcterms:W3CDTF">2024-03-05T12:47:00Z</dcterms:created>
  <dcterms:modified xsi:type="dcterms:W3CDTF">2024-03-05T12:49:00Z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